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PROGRAMA ACADÉMICO</w:t>
      </w:r>
    </w:p>
    <w:p w:rsidR="00000000" w:rsidDel="00000000" w:rsidP="00000000" w:rsidRDefault="00000000" w:rsidRPr="00000000" w14:paraId="00000002">
      <w:pPr>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3">
      <w:pPr>
        <w:spacing w:after="240" w:before="240" w:lineRule="auto"/>
        <w:ind w:right="-1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CARRERA: Licenciatura en comunicación Social</w:t>
      </w:r>
    </w:p>
    <w:p w:rsidR="00000000" w:rsidDel="00000000" w:rsidP="00000000" w:rsidRDefault="00000000" w:rsidRPr="00000000" w14:paraId="00000004">
      <w:pPr>
        <w:spacing w:after="240" w:before="240" w:lineRule="auto"/>
        <w:ind w:right="-6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ASIGNATURA: Política Latinoamericana</w:t>
      </w:r>
    </w:p>
    <w:p w:rsidR="00000000" w:rsidDel="00000000" w:rsidP="00000000" w:rsidRDefault="00000000" w:rsidRPr="00000000" w14:paraId="00000005">
      <w:pPr>
        <w:spacing w:after="240" w:before="240" w:lineRule="auto"/>
        <w:ind w:right="-6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CÓDIGO:</w:t>
      </w:r>
    </w:p>
    <w:p w:rsidR="00000000" w:rsidDel="00000000" w:rsidP="00000000" w:rsidRDefault="00000000" w:rsidRPr="00000000" w14:paraId="00000006">
      <w:pPr>
        <w:spacing w:after="240" w:before="240" w:lineRule="auto"/>
        <w:ind w:right="-6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RÉGIMEN DE CURSADA: Cuatrimestral</w:t>
      </w:r>
    </w:p>
    <w:p w:rsidR="00000000" w:rsidDel="00000000" w:rsidP="00000000" w:rsidRDefault="00000000" w:rsidRPr="00000000" w14:paraId="00000007">
      <w:pPr>
        <w:spacing w:after="240" w:before="240" w:lineRule="auto"/>
        <w:ind w:right="-6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CARGA HORARIA SEMANAL: 4hs</w:t>
      </w:r>
    </w:p>
    <w:p w:rsidR="00000000" w:rsidDel="00000000" w:rsidP="00000000" w:rsidRDefault="00000000" w:rsidRPr="00000000" w14:paraId="00000008">
      <w:pPr>
        <w:spacing w:after="240" w:before="240" w:lineRule="auto"/>
        <w:ind w:right="-6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CARGA HORARIA ANUAL:</w:t>
      </w:r>
    </w:p>
    <w:p w:rsidR="00000000" w:rsidDel="00000000" w:rsidP="00000000" w:rsidRDefault="00000000" w:rsidRPr="00000000" w14:paraId="00000009">
      <w:pPr>
        <w:spacing w:after="240" w:before="240" w:lineRule="auto"/>
        <w:ind w:right="-6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CORRELATIVIDADES: Formación Política</w:t>
      </w:r>
    </w:p>
    <w:p w:rsidR="00000000" w:rsidDel="00000000" w:rsidP="00000000" w:rsidRDefault="00000000" w:rsidRPr="00000000" w14:paraId="0000000A">
      <w:pPr>
        <w:spacing w:after="240" w:before="240" w:lineRule="auto"/>
        <w:ind w:right="-6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PLAN/AÑO: 2017</w:t>
      </w:r>
    </w:p>
    <w:p w:rsidR="00000000" w:rsidDel="00000000" w:rsidP="00000000" w:rsidRDefault="00000000" w:rsidRPr="00000000" w14:paraId="0000000B">
      <w:pPr>
        <w:spacing w:after="240" w:before="240" w:lineRule="auto"/>
        <w:ind w:right="-6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C">
      <w:pPr>
        <w:ind w:left="-740" w:right="-6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
        <w:tblW w:w="9405.35433070866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3.0708661417323"/>
        <w:gridCol w:w="8532.283464566928"/>
        <w:tblGridChange w:id="0">
          <w:tblGrid>
            <w:gridCol w:w="873.0708661417323"/>
            <w:gridCol w:w="8532.283464566928"/>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shd w:fill="f2f2f2" w:val="clear"/>
            <w:tcMar>
              <w:top w:w="260.0" w:type="dxa"/>
              <w:left w:w="100.0" w:type="dxa"/>
              <w:bottom w:w="260.0" w:type="dxa"/>
              <w:right w:w="100.0" w:type="dxa"/>
            </w:tcMar>
            <w:vAlign w:val="top"/>
          </w:tcPr>
          <w:p w:rsidR="00000000" w:rsidDel="00000000" w:rsidP="00000000" w:rsidRDefault="00000000" w:rsidRPr="00000000" w14:paraId="0000000D">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w:t>
            </w:r>
          </w:p>
        </w:tc>
        <w:tc>
          <w:tcPr>
            <w:tcBorders>
              <w:top w:color="000000" w:space="0" w:sz="8" w:val="single"/>
              <w:left w:color="000000" w:space="0" w:sz="0" w:val="nil"/>
              <w:bottom w:color="000000" w:space="0" w:sz="8" w:val="single"/>
              <w:right w:color="000000" w:space="0" w:sz="8" w:val="single"/>
            </w:tcBorders>
            <w:shd w:fill="f2f2f2" w:val="clear"/>
            <w:tcMar>
              <w:top w:w="260.0" w:type="dxa"/>
              <w:left w:w="100.0" w:type="dxa"/>
              <w:bottom w:w="260.0" w:type="dxa"/>
              <w:right w:w="100.0" w:type="dxa"/>
            </w:tcMar>
            <w:vAlign w:val="top"/>
          </w:tcPr>
          <w:p w:rsidR="00000000" w:rsidDel="00000000" w:rsidP="00000000" w:rsidRDefault="00000000" w:rsidRPr="00000000" w14:paraId="0000000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Lineamientos generales de la asignatura</w:t>
            </w:r>
          </w:p>
        </w:tc>
      </w:tr>
      <w:tr>
        <w:trPr>
          <w:trHeight w:val="5835" w:hRule="atLeast"/>
        </w:trPr>
        <w:tc>
          <w:tcPr>
            <w:gridSpan w:val="2"/>
            <w:tcBorders>
              <w:top w:color="000000" w:space="0" w:sz="0" w:val="nil"/>
              <w:left w:color="000000" w:space="0" w:sz="8" w:val="single"/>
              <w:bottom w:color="000000" w:space="0" w:sz="8" w:val="single"/>
              <w:right w:color="000000" w:space="0" w:sz="8" w:val="single"/>
            </w:tcBorders>
            <w:tcMar>
              <w:top w:w="260.0" w:type="dxa"/>
              <w:left w:w="100.0" w:type="dxa"/>
              <w:bottom w:w="260.0" w:type="dxa"/>
              <w:right w:w="100.0" w:type="dxa"/>
            </w:tcMar>
            <w:vAlign w:val="bottom"/>
          </w:tcPr>
          <w:p w:rsidR="00000000" w:rsidDel="00000000" w:rsidP="00000000" w:rsidRDefault="00000000" w:rsidRPr="00000000" w14:paraId="0000000F">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0">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En esta materia se estudiarán algunos de los procesos históricos políticos y sociales que caracterizan a parte del siglo XIX, al siglo XX y XXI en América Latina.</w:t>
            </w:r>
          </w:p>
          <w:p w:rsidR="00000000" w:rsidDel="00000000" w:rsidP="00000000" w:rsidRDefault="00000000" w:rsidRPr="00000000" w14:paraId="00000011">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Para ello el equipo docente brindará a los alumnos herramientas para el análisis en profundidad de la política latinoamericana, que puedan utilizarse también, para el abordaje de otras cuestiones de la sociedad y de la historia, estimulando el pensamiento crítico de los futuros comunicadores, que puedan asumir una posición política respecto a los procesos de comunicación social y de circulación y producción de la información.</w:t>
            </w:r>
          </w:p>
          <w:p w:rsidR="00000000" w:rsidDel="00000000" w:rsidP="00000000" w:rsidRDefault="00000000" w:rsidRPr="00000000" w14:paraId="00000012">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Este programa de estudios se instala como una mirada amplia sobre las cuestiones más relevantes de la política latinoamericana en estos siglos. Aspira a comprender el surgimiento y formación de los estados, la construcción de las naciones y la relación de estos procesos con las transformaciones económicas, sociales y culturales de la región.</w:t>
            </w:r>
          </w:p>
          <w:p w:rsidR="00000000" w:rsidDel="00000000" w:rsidP="00000000" w:rsidRDefault="00000000" w:rsidRPr="00000000" w14:paraId="00000013">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Es una necesidad teórica y epistemológica no sólo útil para el ámbito del análisis político, en función de lograr una caracterización más profunda de las tensiones que hoy en día se colocan en discusión.</w:t>
            </w:r>
          </w:p>
          <w:p w:rsidR="00000000" w:rsidDel="00000000" w:rsidP="00000000" w:rsidRDefault="00000000" w:rsidRPr="00000000" w14:paraId="00000014">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1020" w:hRule="atLeast"/>
        </w:trPr>
        <w:tc>
          <w:tcPr>
            <w:tcBorders>
              <w:top w:color="000000" w:space="0" w:sz="0" w:val="nil"/>
              <w:left w:color="000000" w:space="0" w:sz="8" w:val="single"/>
              <w:bottom w:color="000000" w:space="0" w:sz="8" w:val="single"/>
              <w:right w:color="000000" w:space="0" w:sz="8" w:val="single"/>
            </w:tcBorders>
            <w:shd w:fill="f2f2f2" w:val="clear"/>
            <w:tcMar>
              <w:top w:w="260.0" w:type="dxa"/>
              <w:left w:w="100.0" w:type="dxa"/>
              <w:bottom w:w="260.0" w:type="dxa"/>
              <w:right w:w="100.0" w:type="dxa"/>
            </w:tcMar>
            <w:vAlign w:val="top"/>
          </w:tcPr>
          <w:p w:rsidR="00000000" w:rsidDel="00000000" w:rsidP="00000000" w:rsidRDefault="00000000" w:rsidRPr="00000000" w14:paraId="00000016">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w:t>
            </w:r>
          </w:p>
        </w:tc>
        <w:tc>
          <w:tcPr>
            <w:tcBorders>
              <w:top w:color="000000" w:space="0" w:sz="0" w:val="nil"/>
              <w:left w:color="000000" w:space="0" w:sz="0" w:val="nil"/>
              <w:bottom w:color="000000" w:space="0" w:sz="8" w:val="single"/>
              <w:right w:color="000000" w:space="0" w:sz="8" w:val="single"/>
            </w:tcBorders>
            <w:shd w:fill="f2f2f2" w:val="clear"/>
            <w:tcMar>
              <w:top w:w="260.0" w:type="dxa"/>
              <w:left w:w="100.0" w:type="dxa"/>
              <w:bottom w:w="260.0" w:type="dxa"/>
              <w:right w:w="100.0" w:type="dxa"/>
            </w:tcMar>
            <w:vAlign w:val="top"/>
          </w:tcPr>
          <w:p w:rsidR="00000000" w:rsidDel="00000000" w:rsidP="00000000" w:rsidRDefault="00000000" w:rsidRPr="00000000" w14:paraId="0000001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Objetivos de la asignatura</w:t>
            </w:r>
          </w:p>
        </w:tc>
      </w:tr>
      <w:tr>
        <w:trPr>
          <w:trHeight w:val="5295" w:hRule="atLeast"/>
        </w:trPr>
        <w:tc>
          <w:tcPr>
            <w:gridSpan w:val="2"/>
            <w:tcBorders>
              <w:top w:color="000000" w:space="0" w:sz="0" w:val="nil"/>
              <w:left w:color="000000" w:space="0" w:sz="8" w:val="single"/>
              <w:bottom w:color="000000" w:space="0" w:sz="8" w:val="single"/>
              <w:right w:color="000000" w:space="0" w:sz="8" w:val="single"/>
            </w:tcBorders>
            <w:shd w:fill="auto" w:val="clear"/>
            <w:tcMar>
              <w:top w:w="260.0" w:type="dxa"/>
              <w:left w:w="100.0" w:type="dxa"/>
              <w:bottom w:w="260.0" w:type="dxa"/>
              <w:right w:w="100.0" w:type="dxa"/>
            </w:tcMar>
            <w:vAlign w:val="bottom"/>
          </w:tcPr>
          <w:p w:rsidR="00000000" w:rsidDel="00000000" w:rsidP="00000000" w:rsidRDefault="00000000" w:rsidRPr="00000000" w14:paraId="00000018">
            <w:pPr>
              <w:spacing w:after="240" w:before="24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Objetivo General</w:t>
            </w:r>
          </w:p>
          <w:p w:rsidR="00000000" w:rsidDel="00000000" w:rsidP="00000000" w:rsidRDefault="00000000" w:rsidRPr="00000000" w14:paraId="00000019">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El objetivo principal de esta materia es el estudio de algunos de los procesos históricos, políticos y sociales latinoamericanos a partir de la utilización de herramientas conceptuales de la ciencia política.</w:t>
            </w:r>
          </w:p>
          <w:p w:rsidR="00000000" w:rsidDel="00000000" w:rsidP="00000000" w:rsidRDefault="00000000" w:rsidRPr="00000000" w14:paraId="0000001A">
            <w:pPr>
              <w:spacing w:after="240" w:before="24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Objetivos específicos</w:t>
            </w:r>
          </w:p>
          <w:p w:rsidR="00000000" w:rsidDel="00000000" w:rsidP="00000000" w:rsidRDefault="00000000" w:rsidRPr="00000000" w14:paraId="0000001B">
            <w:pPr>
              <w:numPr>
                <w:ilvl w:val="0"/>
                <w:numId w:val="1"/>
              </w:numPr>
              <w:spacing w:after="0" w:afterAutospacing="0" w:line="360" w:lineRule="auto"/>
              <w:ind w:left="720" w:hanging="360"/>
              <w:jc w:val="both"/>
            </w:pPr>
            <w:r w:rsidDel="00000000" w:rsidR="00000000" w:rsidRPr="00000000">
              <w:rPr>
                <w:rFonts w:ascii="Calibri" w:cs="Calibri" w:eastAsia="Calibri" w:hAnsi="Calibri"/>
                <w:rtl w:val="0"/>
              </w:rPr>
              <w:t xml:space="preserve">Establecer un apropiado marco conceptual para el análisis de los grandes acontecimientos de América Latina desde fines del siglo XIX y los siglos XX y XXI.</w:t>
            </w:r>
          </w:p>
          <w:p w:rsidR="00000000" w:rsidDel="00000000" w:rsidP="00000000" w:rsidRDefault="00000000" w:rsidRPr="00000000" w14:paraId="0000001C">
            <w:pPr>
              <w:numPr>
                <w:ilvl w:val="0"/>
                <w:numId w:val="1"/>
              </w:numPr>
              <w:spacing w:after="0" w:afterAutospacing="0" w:line="360" w:lineRule="auto"/>
              <w:ind w:left="720" w:hanging="360"/>
              <w:jc w:val="both"/>
            </w:pPr>
            <w:r w:rsidDel="00000000" w:rsidR="00000000" w:rsidRPr="00000000">
              <w:rPr>
                <w:rFonts w:ascii="Calibri" w:cs="Calibri" w:eastAsia="Calibri" w:hAnsi="Calibri"/>
                <w:rtl w:val="0"/>
              </w:rPr>
              <w:t xml:space="preserve">Reconocer las características, cambios y continuidades del Estado y la Sociedad en este período como así también los diferentes modos de intervención y modelos de desarrollo que se sustentaron.</w:t>
            </w:r>
          </w:p>
          <w:p w:rsidR="00000000" w:rsidDel="00000000" w:rsidP="00000000" w:rsidRDefault="00000000" w:rsidRPr="00000000" w14:paraId="0000001D">
            <w:pPr>
              <w:numPr>
                <w:ilvl w:val="0"/>
                <w:numId w:val="1"/>
              </w:numPr>
              <w:spacing w:after="240" w:line="360" w:lineRule="auto"/>
              <w:ind w:left="720" w:hanging="360"/>
              <w:jc w:val="both"/>
            </w:pPr>
            <w:r w:rsidDel="00000000" w:rsidR="00000000" w:rsidRPr="00000000">
              <w:rPr>
                <w:rFonts w:ascii="Calibri" w:cs="Calibri" w:eastAsia="Calibri" w:hAnsi="Calibri"/>
                <w:rtl w:val="0"/>
              </w:rPr>
              <w:t xml:space="preserve">Aplicar conocimientos a temas específicos de actualidad, para fortalecer la formación en las prácticas periodísticas.</w:t>
            </w:r>
          </w:p>
          <w:p w:rsidR="00000000" w:rsidDel="00000000" w:rsidP="00000000" w:rsidRDefault="00000000" w:rsidRPr="00000000" w14:paraId="0000001E">
            <w:pPr>
              <w:spacing w:after="240" w:before="240" w:line="360" w:lineRule="auto"/>
              <w:ind w:left="1060" w:hanging="360"/>
              <w:jc w:val="both"/>
              <w:rPr>
                <w:rFonts w:ascii="Calibri" w:cs="Calibri" w:eastAsia="Calibri" w:hAnsi="Calibri"/>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Fortalecer la capacidad de intervención en la elaboración de opiniones con fundamentos claros/apropiados.</w:t>
            </w:r>
          </w:p>
        </w:tc>
      </w:tr>
      <w:tr>
        <w:trPr>
          <w:trHeight w:val="1035" w:hRule="atLeast"/>
        </w:trPr>
        <w:tc>
          <w:tcPr>
            <w:tcBorders>
              <w:top w:color="000000" w:space="0" w:sz="0" w:val="nil"/>
              <w:left w:color="000000" w:space="0" w:sz="8" w:val="single"/>
              <w:bottom w:color="000000" w:space="0" w:sz="8" w:val="single"/>
              <w:right w:color="000000" w:space="0" w:sz="8" w:val="single"/>
            </w:tcBorders>
            <w:shd w:fill="f2f2f2" w:val="clear"/>
            <w:tcMar>
              <w:top w:w="260.0" w:type="dxa"/>
              <w:left w:w="100.0" w:type="dxa"/>
              <w:bottom w:w="260.0" w:type="dxa"/>
              <w:right w:w="100.0" w:type="dxa"/>
            </w:tcMar>
            <w:vAlign w:val="top"/>
          </w:tcPr>
          <w:p w:rsidR="00000000" w:rsidDel="00000000" w:rsidP="00000000" w:rsidRDefault="00000000" w:rsidRPr="00000000" w14:paraId="00000020">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w:t>
            </w:r>
          </w:p>
        </w:tc>
        <w:tc>
          <w:tcPr>
            <w:tcBorders>
              <w:top w:color="000000" w:space="0" w:sz="0" w:val="nil"/>
              <w:left w:color="000000" w:space="0" w:sz="0" w:val="nil"/>
              <w:bottom w:color="000000" w:space="0" w:sz="8" w:val="single"/>
              <w:right w:color="000000" w:space="0" w:sz="8" w:val="single"/>
            </w:tcBorders>
            <w:shd w:fill="f2f2f2" w:val="clear"/>
            <w:tcMar>
              <w:top w:w="260.0" w:type="dxa"/>
              <w:left w:w="100.0" w:type="dxa"/>
              <w:bottom w:w="260.0" w:type="dxa"/>
              <w:right w:w="100.0" w:type="dxa"/>
            </w:tcMar>
            <w:vAlign w:val="top"/>
          </w:tcPr>
          <w:p w:rsidR="00000000" w:rsidDel="00000000" w:rsidP="00000000" w:rsidRDefault="00000000" w:rsidRPr="00000000" w14:paraId="0000002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Actividades áulicas y/o de territorio (ej. modalidad de dictado, exposiciones orales, análisis de textos, actividades en grupo, etc.)</w:t>
            </w:r>
          </w:p>
        </w:tc>
      </w:tr>
      <w:tr>
        <w:trPr>
          <w:trHeight w:val="2745" w:hRule="atLeast"/>
        </w:trPr>
        <w:tc>
          <w:tcPr>
            <w:gridSpan w:val="2"/>
            <w:tcBorders>
              <w:top w:color="000000" w:space="0" w:sz="0" w:val="nil"/>
              <w:left w:color="000000" w:space="0" w:sz="8" w:val="single"/>
              <w:bottom w:color="000000" w:space="0" w:sz="8" w:val="single"/>
              <w:right w:color="000000" w:space="0" w:sz="8" w:val="single"/>
            </w:tcBorders>
            <w:shd w:fill="auto" w:val="clear"/>
            <w:tcMar>
              <w:top w:w="260.0" w:type="dxa"/>
              <w:left w:w="100.0" w:type="dxa"/>
              <w:bottom w:w="260.0" w:type="dxa"/>
              <w:right w:w="100.0" w:type="dxa"/>
            </w:tcMar>
            <w:vAlign w:val="bottom"/>
          </w:tcPr>
          <w:p w:rsidR="00000000" w:rsidDel="00000000" w:rsidP="00000000" w:rsidRDefault="00000000" w:rsidRPr="00000000" w14:paraId="00000022">
            <w:pPr>
              <w:spacing w:after="240" w:before="24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Metodología de trabajo</w:t>
            </w:r>
          </w:p>
          <w:p w:rsidR="00000000" w:rsidDel="00000000" w:rsidP="00000000" w:rsidRDefault="00000000" w:rsidRPr="00000000" w14:paraId="00000023">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La asignatura se desarrollará en 14/15 clases. El trabajo en el aula incluye el dictado de clases teóricas y actividades grupales que intentan incentivar la interacción y el intercambio de ideas entre los alumnos. Cada clase comenzará con una exposición de las docentes buscando la comprensión de los conceptos fundamentales de la temática, basadas en las fuentes bibliográficas propuestas. Se trabajará con materiales de apoyo, (bibliografía, periódicos, soporte audiovisual) y con trabajos prácticos de aplicación a la teoría y a las estrategias conceptuales.</w:t>
            </w:r>
          </w:p>
        </w:tc>
      </w:tr>
      <w:tr>
        <w:trPr>
          <w:trHeight w:val="2025" w:hRule="atLeast"/>
        </w:trPr>
        <w:tc>
          <w:tcPr>
            <w:tcBorders>
              <w:top w:color="000000" w:space="0" w:sz="0" w:val="nil"/>
              <w:left w:color="000000" w:space="0" w:sz="8" w:val="single"/>
              <w:bottom w:color="000000" w:space="0" w:sz="8" w:val="single"/>
              <w:right w:color="000000" w:space="0" w:sz="8" w:val="single"/>
            </w:tcBorders>
            <w:shd w:fill="f2f2f2" w:val="clear"/>
            <w:tcMar>
              <w:top w:w="260.0" w:type="dxa"/>
              <w:left w:w="100.0" w:type="dxa"/>
              <w:bottom w:w="260.0" w:type="dxa"/>
              <w:right w:w="100.0" w:type="dxa"/>
            </w:tcMar>
            <w:vAlign w:val="top"/>
          </w:tcPr>
          <w:p w:rsidR="00000000" w:rsidDel="00000000" w:rsidP="00000000" w:rsidRDefault="00000000" w:rsidRPr="00000000" w14:paraId="00000025">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w:t>
            </w:r>
          </w:p>
        </w:tc>
        <w:tc>
          <w:tcPr>
            <w:tcBorders>
              <w:top w:color="000000" w:space="0" w:sz="0" w:val="nil"/>
              <w:left w:color="000000" w:space="0" w:sz="0" w:val="nil"/>
              <w:bottom w:color="000000" w:space="0" w:sz="8" w:val="single"/>
              <w:right w:color="000000" w:space="0" w:sz="8" w:val="single"/>
            </w:tcBorders>
            <w:shd w:fill="f2f2f2" w:val="clear"/>
            <w:tcMar>
              <w:top w:w="260.0" w:type="dxa"/>
              <w:left w:w="100.0" w:type="dxa"/>
              <w:bottom w:w="260.0" w:type="dxa"/>
              <w:right w:w="100.0" w:type="dxa"/>
            </w:tcMar>
            <w:vAlign w:val="top"/>
          </w:tcPr>
          <w:p w:rsidR="00000000" w:rsidDel="00000000" w:rsidP="00000000" w:rsidRDefault="00000000" w:rsidRPr="00000000" w14:paraId="0000002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Modalidad de evaluación y aprobación de la asignatura (ej. condiciones para obtener la regularidad, criterios de evaluación, sistemas de evaluación)</w:t>
            </w:r>
          </w:p>
          <w:p w:rsidR="00000000" w:rsidDel="00000000" w:rsidP="00000000" w:rsidRDefault="00000000" w:rsidRPr="00000000" w14:paraId="0000002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r>
        <w:trPr>
          <w:trHeight w:val="14475" w:hRule="atLeast"/>
        </w:trPr>
        <w:tc>
          <w:tcPr>
            <w:gridSpan w:val="2"/>
            <w:tcBorders>
              <w:top w:color="000000" w:space="0" w:sz="0" w:val="nil"/>
              <w:left w:color="000000" w:space="0" w:sz="8" w:val="single"/>
              <w:bottom w:color="000000" w:space="0" w:sz="8" w:val="single"/>
              <w:right w:color="000000" w:space="0" w:sz="8" w:val="single"/>
            </w:tcBorders>
            <w:shd w:fill="auto" w:val="clear"/>
            <w:tcMar>
              <w:top w:w="260.0" w:type="dxa"/>
              <w:left w:w="100.0" w:type="dxa"/>
              <w:bottom w:w="260.0" w:type="dxa"/>
              <w:right w:w="100.0" w:type="dxa"/>
            </w:tcMar>
            <w:vAlign w:val="bottom"/>
          </w:tcPr>
          <w:p w:rsidR="00000000" w:rsidDel="00000000" w:rsidP="00000000" w:rsidRDefault="00000000" w:rsidRPr="00000000" w14:paraId="0000002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A">
            <w:pPr>
              <w:spacing w:after="240" w:before="24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Evaluación</w:t>
            </w:r>
          </w:p>
          <w:p w:rsidR="00000000" w:rsidDel="00000000" w:rsidP="00000000" w:rsidRDefault="00000000" w:rsidRPr="00000000" w14:paraId="0000002B">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La evaluación comprenderá dos instancias: la primera consistirá en la realización de un examen parcial, escrito e individual, donde se deberá analizar la bibliografía teórico conceptual de la materia. La segunda estará compuesta por la realización de un trabajo práctico final junto con el desempeño de los estudiantes en la cursada de la materia (entregas parciales del trabajo así como participación y trabajo en clase).</w:t>
            </w:r>
          </w:p>
          <w:p w:rsidR="00000000" w:rsidDel="00000000" w:rsidP="00000000" w:rsidRDefault="00000000" w:rsidRPr="00000000" w14:paraId="0000002C">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Se requerirá asistencia no inferior al 80% de las clases.</w:t>
            </w:r>
          </w:p>
          <w:p w:rsidR="00000000" w:rsidDel="00000000" w:rsidP="00000000" w:rsidRDefault="00000000" w:rsidRPr="00000000" w14:paraId="0000002D">
            <w:pPr>
              <w:spacing w:after="240" w:before="24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Régimen de Aprobación</w:t>
            </w:r>
          </w:p>
          <w:p w:rsidR="00000000" w:rsidDel="00000000" w:rsidP="00000000" w:rsidRDefault="00000000" w:rsidRPr="00000000" w14:paraId="0000002E">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La materia podrá ser aprobada por promoción o por examen final con el previo cumplimiento de todas las instancias de evaluación planteadas anteriormente.</w:t>
            </w:r>
          </w:p>
          <w:p w:rsidR="00000000" w:rsidDel="00000000" w:rsidP="00000000" w:rsidRDefault="00000000" w:rsidRPr="00000000" w14:paraId="0000002F">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Si la nota final obtenida fuere 4 (cuatro), 5 (cinco) ò 6 (seis) el estudiante deberá rendir examen final.</w:t>
            </w:r>
          </w:p>
          <w:p w:rsidR="00000000" w:rsidDel="00000000" w:rsidP="00000000" w:rsidRDefault="00000000" w:rsidRPr="00000000" w14:paraId="00000030">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Para promocionar la materia el estudiante deberá aprobar los parciales y los trabajos prácticos con una calificación igual o mayor a 7 (siete.</w:t>
            </w:r>
          </w:p>
          <w:p w:rsidR="00000000" w:rsidDel="00000000" w:rsidP="00000000" w:rsidRDefault="00000000" w:rsidRPr="00000000" w14:paraId="00000031">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Cabe destacar que las notas no son promediables por lo que, en cada instancia de evaluación, deberá obtener una calificación igual o mayor a 7 (siete).</w:t>
            </w:r>
          </w:p>
          <w:p w:rsidR="00000000" w:rsidDel="00000000" w:rsidP="00000000" w:rsidRDefault="00000000" w:rsidRPr="00000000" w14:paraId="00000032">
            <w:pPr>
              <w:spacing w:after="240" w:before="24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3">
            <w:pPr>
              <w:spacing w:after="240" w:before="24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Régimen de Recuperación</w:t>
            </w:r>
          </w:p>
          <w:p w:rsidR="00000000" w:rsidDel="00000000" w:rsidP="00000000" w:rsidRDefault="00000000" w:rsidRPr="00000000" w14:paraId="00000034">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En caso de obtener una nota menor a 4 (cuatro) en el examen parcial o en el trabajo integrador, el estudiante deberá presentarte a la instancia de recuperación para lograr aprobar la materia. En caso de obtener en los parciales y trabajo práctico una nota mayor a 4 (cuatro) y menor a 7 (siete) el estudiante podrá optar por presentarse a la instancia de recuperación, en la fecha asignada por el docente, para lograr la promoción de la materia.</w:t>
            </w:r>
          </w:p>
          <w:p w:rsidR="00000000" w:rsidDel="00000000" w:rsidP="00000000" w:rsidRDefault="00000000" w:rsidRPr="00000000" w14:paraId="00000035">
            <w:pPr>
              <w:spacing w:after="240" w:before="24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6">
            <w:pPr>
              <w:spacing w:after="240" w:before="24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Notas Aclaratorias</w:t>
            </w:r>
          </w:p>
          <w:p w:rsidR="00000000" w:rsidDel="00000000" w:rsidP="00000000" w:rsidRDefault="00000000" w:rsidRPr="00000000" w14:paraId="00000037">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A- Deberá recursar la materia aquel alumno que:</w:t>
            </w:r>
          </w:p>
          <w:p w:rsidR="00000000" w:rsidDel="00000000" w:rsidP="00000000" w:rsidRDefault="00000000" w:rsidRPr="00000000" w14:paraId="00000038">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 Obtenga una nota promedio menor a cuatro (4).</w:t>
            </w:r>
          </w:p>
          <w:p w:rsidR="00000000" w:rsidDel="00000000" w:rsidP="00000000" w:rsidRDefault="00000000" w:rsidRPr="00000000" w14:paraId="00000039">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 No haya rendido/recuperado alguno de los parciales.</w:t>
            </w:r>
          </w:p>
          <w:p w:rsidR="00000000" w:rsidDel="00000000" w:rsidP="00000000" w:rsidRDefault="00000000" w:rsidRPr="00000000" w14:paraId="0000003A">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 No se haya presentado a rendir examen final durante el plazo de regularidad.</w:t>
            </w:r>
          </w:p>
          <w:p w:rsidR="00000000" w:rsidDel="00000000" w:rsidP="00000000" w:rsidRDefault="00000000" w:rsidRPr="00000000" w14:paraId="0000003B">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780" w:hRule="atLeast"/>
        </w:trPr>
        <w:tc>
          <w:tcPr>
            <w:tcBorders>
              <w:top w:color="000000" w:space="0" w:sz="0" w:val="nil"/>
              <w:left w:color="000000" w:space="0" w:sz="8" w:val="single"/>
              <w:bottom w:color="000000" w:space="0" w:sz="8" w:val="single"/>
              <w:right w:color="000000" w:space="0" w:sz="8" w:val="single"/>
            </w:tcBorders>
            <w:shd w:fill="f2f2f2" w:val="clear"/>
            <w:tcMar>
              <w:top w:w="260.0" w:type="dxa"/>
              <w:left w:w="100.0" w:type="dxa"/>
              <w:bottom w:w="260.0" w:type="dxa"/>
              <w:right w:w="100.0" w:type="dxa"/>
            </w:tcMar>
            <w:vAlign w:val="top"/>
          </w:tcPr>
          <w:p w:rsidR="00000000" w:rsidDel="00000000" w:rsidP="00000000" w:rsidRDefault="00000000" w:rsidRPr="00000000" w14:paraId="0000003D">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w:t>
            </w:r>
          </w:p>
        </w:tc>
        <w:tc>
          <w:tcPr>
            <w:tcBorders>
              <w:top w:color="000000" w:space="0" w:sz="0" w:val="nil"/>
              <w:left w:color="000000" w:space="0" w:sz="0" w:val="nil"/>
              <w:bottom w:color="000000" w:space="0" w:sz="8" w:val="single"/>
              <w:right w:color="000000" w:space="0" w:sz="8" w:val="single"/>
            </w:tcBorders>
            <w:shd w:fill="f2f2f2" w:val="clear"/>
            <w:tcMar>
              <w:top w:w="260.0" w:type="dxa"/>
              <w:left w:w="100.0" w:type="dxa"/>
              <w:bottom w:w="260.0" w:type="dxa"/>
              <w:right w:w="100.0" w:type="dxa"/>
            </w:tcMar>
            <w:vAlign w:val="top"/>
          </w:tcPr>
          <w:p w:rsidR="00000000" w:rsidDel="00000000" w:rsidP="00000000" w:rsidRDefault="00000000" w:rsidRPr="00000000" w14:paraId="0000003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Programa de la asignatura (ej. contenidos de los módulos o temas o clases)</w:t>
            </w:r>
          </w:p>
        </w:tc>
      </w:tr>
      <w:tr>
        <w:trPr>
          <w:trHeight w:val="6105" w:hRule="atLeast"/>
        </w:trPr>
        <w:tc>
          <w:tcPr>
            <w:gridSpan w:val="2"/>
            <w:tcBorders>
              <w:top w:color="000000" w:space="0" w:sz="0" w:val="nil"/>
              <w:left w:color="000000" w:space="0" w:sz="8" w:val="single"/>
              <w:bottom w:color="000000" w:space="0" w:sz="8" w:val="single"/>
              <w:right w:color="000000" w:space="0" w:sz="8" w:val="single"/>
            </w:tcBorders>
            <w:shd w:fill="auto" w:val="clear"/>
            <w:tcMar>
              <w:top w:w="260.0" w:type="dxa"/>
              <w:left w:w="100.0" w:type="dxa"/>
              <w:bottom w:w="260.0" w:type="dxa"/>
              <w:right w:w="100.0" w:type="dxa"/>
            </w:tcMar>
            <w:vAlign w:val="bottom"/>
          </w:tcPr>
          <w:p w:rsidR="00000000" w:rsidDel="00000000" w:rsidP="00000000" w:rsidRDefault="00000000" w:rsidRPr="00000000" w14:paraId="0000003F">
            <w:pPr>
              <w:spacing w:after="240" w:before="24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Programa analítico</w:t>
            </w:r>
          </w:p>
          <w:p w:rsidR="00000000" w:rsidDel="00000000" w:rsidP="00000000" w:rsidRDefault="00000000" w:rsidRPr="00000000" w14:paraId="00000040">
            <w:pPr>
              <w:spacing w:after="240" w:before="24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41">
            <w:pPr>
              <w:spacing w:after="240" w:before="24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Unidad 1</w:t>
            </w:r>
            <w:r w:rsidDel="00000000" w:rsidR="00000000" w:rsidRPr="00000000">
              <w:rPr>
                <w:rFonts w:ascii="Calibri" w:cs="Calibri" w:eastAsia="Calibri" w:hAnsi="Calibri"/>
                <w:rtl w:val="0"/>
              </w:rPr>
              <w:t xml:space="preserve">: Nociones principales de Estado, Sociedad, Nación y Política. Corrientes de pensamiento sociopolítico sobre el Estado y la Sociedad. Conceptualización y conformación del Estado</w:t>
            </w:r>
          </w:p>
          <w:p w:rsidR="00000000" w:rsidDel="00000000" w:rsidP="00000000" w:rsidRDefault="00000000" w:rsidRPr="00000000" w14:paraId="00000042">
            <w:pPr>
              <w:spacing w:after="240" w:before="24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Unidad 2</w:t>
            </w:r>
            <w:r w:rsidDel="00000000" w:rsidR="00000000" w:rsidRPr="00000000">
              <w:rPr>
                <w:rFonts w:ascii="Calibri" w:cs="Calibri" w:eastAsia="Calibri" w:hAnsi="Calibri"/>
                <w:rtl w:val="0"/>
              </w:rPr>
              <w:t xml:space="preserve">: las sociedades y la política latinoamericana. Las particularidades internas de estas formaciones políticas sociales. Las claves de nuestra historia común. La identidad latinoamericana. La formación de los estados nacionales. El caso boliviano.</w:t>
            </w:r>
          </w:p>
          <w:p w:rsidR="00000000" w:rsidDel="00000000" w:rsidP="00000000" w:rsidRDefault="00000000" w:rsidRPr="00000000" w14:paraId="00000043">
            <w:pPr>
              <w:spacing w:after="240" w:before="240" w:line="360" w:lineRule="auto"/>
              <w:rPr>
                <w:rFonts w:ascii="Calibri" w:cs="Calibri" w:eastAsia="Calibri" w:hAnsi="Calibri"/>
              </w:rPr>
            </w:pPr>
            <w:r w:rsidDel="00000000" w:rsidR="00000000" w:rsidRPr="00000000">
              <w:rPr>
                <w:rFonts w:ascii="Calibri" w:cs="Calibri" w:eastAsia="Calibri" w:hAnsi="Calibri"/>
                <w:b w:val="1"/>
                <w:rtl w:val="0"/>
              </w:rPr>
              <w:t xml:space="preserve">Unidad 3</w:t>
            </w:r>
            <w:r w:rsidDel="00000000" w:rsidR="00000000" w:rsidRPr="00000000">
              <w:rPr>
                <w:rFonts w:ascii="Calibri" w:cs="Calibri" w:eastAsia="Calibri" w:hAnsi="Calibri"/>
                <w:rtl w:val="0"/>
              </w:rPr>
              <w:t xml:space="preserve">: Los modelos de inserción políticos y económicos en el siglo XX y XXI: El quiebre de los estados oligárquicos. La crisis y la industrialización por sustitución de importaciones. La emergencia de los sectores medios. El fin de la prosperidad y las políticas desarrollistas. Surgimiento de Populismos y desarrollismos. Varguismo, cardenismo y peronismo. Los proyectos emancipadores de carácter continental. Revolución cubana: influencia. Inserción de los sectores populares en las construcciones políticas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Micro y macro política en territorio urbano-rural. Emergentes de la crisis: los nuevos movimientos sociales. Regímenes dictatoriales. Democracias. Nuevos líderes. Giro a la izquierda. Integración regional.</w:t>
            </w:r>
          </w:p>
        </w:tc>
      </w:tr>
      <w:tr>
        <w:trPr>
          <w:trHeight w:val="780" w:hRule="atLeast"/>
        </w:trPr>
        <w:tc>
          <w:tcPr>
            <w:tcBorders>
              <w:top w:color="000000" w:space="0" w:sz="0" w:val="nil"/>
              <w:left w:color="000000" w:space="0" w:sz="8" w:val="single"/>
              <w:bottom w:color="000000" w:space="0" w:sz="8" w:val="single"/>
              <w:right w:color="000000" w:space="0" w:sz="8" w:val="single"/>
            </w:tcBorders>
            <w:shd w:fill="f2f2f2" w:val="clear"/>
            <w:tcMar>
              <w:top w:w="260.0" w:type="dxa"/>
              <w:left w:w="100.0" w:type="dxa"/>
              <w:bottom w:w="260.0" w:type="dxa"/>
              <w:right w:w="100.0" w:type="dxa"/>
            </w:tcMar>
            <w:vAlign w:val="top"/>
          </w:tcPr>
          <w:p w:rsidR="00000000" w:rsidDel="00000000" w:rsidP="00000000" w:rsidRDefault="00000000" w:rsidRPr="00000000" w14:paraId="00000045">
            <w:pPr>
              <w:spacing w:after="240" w:befor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2f2f2" w:val="clear"/>
            <w:tcMar>
              <w:top w:w="260.0" w:type="dxa"/>
              <w:left w:w="100.0" w:type="dxa"/>
              <w:bottom w:w="260.0" w:type="dxa"/>
              <w:right w:w="100.0" w:type="dxa"/>
            </w:tcMar>
            <w:vAlign w:val="top"/>
          </w:tcPr>
          <w:p w:rsidR="00000000" w:rsidDel="00000000" w:rsidP="00000000" w:rsidRDefault="00000000" w:rsidRPr="00000000" w14:paraId="00000046">
            <w:pPr>
              <w:spacing w:after="240" w:before="240" w:lineRule="auto"/>
              <w:rPr>
                <w:rFonts w:ascii="Times New Roman" w:cs="Times New Roman" w:eastAsia="Times New Roman" w:hAnsi="Times New Roman"/>
                <w:b w:val="1"/>
              </w:rPr>
            </w:pPr>
            <w:r w:rsidDel="00000000" w:rsidR="00000000" w:rsidRPr="00000000">
              <w:rPr>
                <w:rtl w:val="0"/>
              </w:rPr>
            </w:r>
          </w:p>
        </w:tc>
      </w:tr>
      <w:tr>
        <w:trPr>
          <w:trHeight w:val="19215" w:hRule="atLeast"/>
        </w:trPr>
        <w:tc>
          <w:tcPr>
            <w:gridSpan w:val="2"/>
            <w:tcBorders>
              <w:top w:color="000000" w:space="0" w:sz="0" w:val="nil"/>
              <w:left w:color="000000" w:space="0" w:sz="8" w:val="single"/>
              <w:bottom w:color="000000" w:space="0" w:sz="8" w:val="single"/>
              <w:right w:color="000000" w:space="0" w:sz="8" w:val="single"/>
            </w:tcBorders>
            <w:shd w:fill="auto" w:val="clear"/>
            <w:tcMar>
              <w:top w:w="260.0" w:type="dxa"/>
              <w:left w:w="100.0" w:type="dxa"/>
              <w:bottom w:w="260.0" w:type="dxa"/>
              <w:right w:w="100.0" w:type="dxa"/>
            </w:tcMar>
            <w:vAlign w:val="bottom"/>
          </w:tcPr>
          <w:p w:rsidR="00000000" w:rsidDel="00000000" w:rsidP="00000000" w:rsidRDefault="00000000" w:rsidRPr="00000000" w14:paraId="00000047">
            <w:pPr>
              <w:spacing w:after="240" w:before="240" w:lineRule="auto"/>
              <w:ind w:left="700" w:firstLine="0"/>
              <w:rPr>
                <w:rFonts w:ascii="Times New Roman" w:cs="Times New Roman" w:eastAsia="Times New Roman" w:hAnsi="Times New Roman"/>
                <w:sz w:val="20"/>
                <w:szCs w:val="20"/>
              </w:rPr>
            </w:pP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f2f2f2" w:val="clear"/>
            <w:tcMar>
              <w:top w:w="260.0" w:type="dxa"/>
              <w:left w:w="100.0" w:type="dxa"/>
              <w:bottom w:w="260.0" w:type="dxa"/>
              <w:right w:w="100.0" w:type="dxa"/>
            </w:tcMar>
            <w:vAlign w:val="top"/>
          </w:tcPr>
          <w:p w:rsidR="00000000" w:rsidDel="00000000" w:rsidP="00000000" w:rsidRDefault="00000000" w:rsidRPr="00000000" w14:paraId="00000049">
            <w:pPr>
              <w:spacing w:after="240" w:before="240"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2f2f2" w:val="clear"/>
            <w:tcMar>
              <w:top w:w="260.0" w:type="dxa"/>
              <w:left w:w="100.0" w:type="dxa"/>
              <w:bottom w:w="260.0" w:type="dxa"/>
              <w:right w:w="100.0" w:type="dxa"/>
            </w:tcMar>
            <w:vAlign w:val="top"/>
          </w:tcPr>
          <w:p w:rsidR="00000000" w:rsidDel="00000000" w:rsidP="00000000" w:rsidRDefault="00000000" w:rsidRPr="00000000" w14:paraId="0000004A">
            <w:pPr>
              <w:spacing w:after="240" w:before="240" w:lineRule="auto"/>
              <w:rPr>
                <w:rFonts w:ascii="Times New Roman" w:cs="Times New Roman" w:eastAsia="Times New Roman" w:hAnsi="Times New Roman"/>
                <w:b w:val="1"/>
              </w:rPr>
            </w:pPr>
            <w:r w:rsidDel="00000000" w:rsidR="00000000" w:rsidRPr="00000000">
              <w:rPr>
                <w:rtl w:val="0"/>
              </w:rPr>
            </w:r>
          </w:p>
        </w:tc>
      </w:tr>
      <w:tr>
        <w:trPr>
          <w:trHeight w:val="7395" w:hRule="atLeast"/>
        </w:trPr>
        <w:tc>
          <w:tcPr>
            <w:gridSpan w:val="2"/>
            <w:tcBorders>
              <w:top w:color="000000" w:space="0" w:sz="0" w:val="nil"/>
              <w:left w:color="000000" w:space="0" w:sz="8" w:val="single"/>
              <w:bottom w:color="000000" w:space="0" w:sz="8" w:val="single"/>
              <w:right w:color="000000" w:space="0" w:sz="8" w:val="single"/>
            </w:tcBorders>
            <w:shd w:fill="auto" w:val="clear"/>
            <w:tcMar>
              <w:top w:w="260.0" w:type="dxa"/>
              <w:left w:w="100.0" w:type="dxa"/>
              <w:bottom w:w="260.0" w:type="dxa"/>
              <w:right w:w="100.0" w:type="dxa"/>
            </w:tcMar>
            <w:vAlign w:val="bottom"/>
          </w:tcPr>
          <w:p w:rsidR="00000000" w:rsidDel="00000000" w:rsidP="00000000" w:rsidRDefault="00000000" w:rsidRPr="00000000" w14:paraId="0000004B">
            <w:pPr>
              <w:spacing w:after="240" w:before="240" w:line="36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4D">
      <w:pPr>
        <w:spacing w:after="240" w:before="240" w:line="360" w:lineRule="auto"/>
        <w:jc w:val="both"/>
        <w:rPr/>
      </w:pPr>
      <w:r w:rsidDel="00000000" w:rsidR="00000000" w:rsidRPr="00000000">
        <w:rPr>
          <w:rtl w:val="0"/>
        </w:rPr>
      </w:r>
    </w:p>
    <w:sectPr>
      <w:pgSz w:h="15840" w:w="12240"/>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